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79" w:type="dxa"/>
        <w:tblCellSpacing w:w="15" w:type="dxa"/>
        <w:tblInd w:w="-135" w:type="dxa"/>
        <w:tblCellMar>
          <w:top w:w="15" w:type="dxa"/>
          <w:left w:w="15" w:type="dxa"/>
          <w:bottom w:w="15" w:type="dxa"/>
          <w:right w:w="15" w:type="dxa"/>
        </w:tblCellMar>
        <w:tblLook w:val="00A0"/>
      </w:tblPr>
      <w:tblGrid>
        <w:gridCol w:w="9879"/>
      </w:tblGrid>
      <w:tr w:rsidR="00682A22" w:rsidRPr="0022717C" w:rsidTr="009F6FA9">
        <w:trPr>
          <w:tblCellSpacing w:w="15" w:type="dxa"/>
        </w:trPr>
        <w:tc>
          <w:tcPr>
            <w:tcW w:w="0" w:type="auto"/>
            <w:vAlign w:val="center"/>
          </w:tcPr>
          <w:tbl>
            <w:tblPr>
              <w:tblW w:w="5000" w:type="pct"/>
              <w:tblCellSpacing w:w="0" w:type="dxa"/>
              <w:tblCellMar>
                <w:top w:w="30" w:type="dxa"/>
                <w:left w:w="30" w:type="dxa"/>
                <w:bottom w:w="30" w:type="dxa"/>
                <w:right w:w="30" w:type="dxa"/>
              </w:tblCellMar>
              <w:tblLook w:val="00A0"/>
            </w:tblPr>
            <w:tblGrid>
              <w:gridCol w:w="8011"/>
              <w:gridCol w:w="1778"/>
            </w:tblGrid>
            <w:tr w:rsidR="00682A22" w:rsidRPr="0022717C">
              <w:trPr>
                <w:tblCellSpacing w:w="0" w:type="dxa"/>
              </w:trPr>
              <w:tc>
                <w:tcPr>
                  <w:tcW w:w="4212" w:type="pct"/>
                  <w:tcBorders>
                    <w:bottom w:val="single" w:sz="6" w:space="0" w:color="8E8E8E"/>
                  </w:tcBorders>
                  <w:vAlign w:val="bottom"/>
                </w:tcPr>
                <w:p w:rsidR="00682A22" w:rsidRPr="00DB55D9" w:rsidRDefault="00682A22" w:rsidP="00DB55D9">
                  <w:pPr>
                    <w:spacing w:after="0" w:line="240" w:lineRule="auto"/>
                    <w:rPr>
                      <w:rFonts w:ascii="Arial" w:hAnsi="Arial" w:cs="Arial"/>
                      <w:b/>
                      <w:bCs/>
                      <w:sz w:val="20"/>
                      <w:szCs w:val="20"/>
                      <w:lang w:eastAsia="cs-CZ"/>
                    </w:rPr>
                  </w:pPr>
                  <w:r>
                    <w:rPr>
                      <w:rFonts w:ascii="Arial" w:hAnsi="Arial" w:cs="Arial"/>
                      <w:b/>
                      <w:bCs/>
                      <w:sz w:val="20"/>
                      <w:szCs w:val="20"/>
                      <w:lang w:eastAsia="cs-CZ"/>
                    </w:rPr>
                    <w:t>TÉMA</w:t>
                  </w:r>
                  <w:r w:rsidRPr="00DB55D9">
                    <w:rPr>
                      <w:rFonts w:ascii="Arial" w:hAnsi="Arial" w:cs="Arial"/>
                      <w:b/>
                      <w:bCs/>
                      <w:sz w:val="20"/>
                      <w:szCs w:val="20"/>
                      <w:lang w:eastAsia="cs-CZ"/>
                    </w:rPr>
                    <w:t xml:space="preserve"> Pojištění motorových vozidel   HOSPODÁŘSKÉ NOVINY 8.11.2011</w:t>
                  </w:r>
                </w:p>
              </w:tc>
              <w:bookmarkStart w:id="0" w:name="_GoBack"/>
              <w:bookmarkEnd w:id="0"/>
              <w:tc>
                <w:tcPr>
                  <w:tcW w:w="0" w:type="auto"/>
                  <w:tcBorders>
                    <w:bottom w:val="single" w:sz="6" w:space="0" w:color="8E8E8E"/>
                  </w:tcBorders>
                  <w:noWrap/>
                  <w:vAlign w:val="bottom"/>
                </w:tcPr>
                <w:p w:rsidR="00682A22" w:rsidRPr="00DB55D9" w:rsidRDefault="00682A22" w:rsidP="00DB55D9">
                  <w:pPr>
                    <w:spacing w:after="0" w:line="240" w:lineRule="auto"/>
                    <w:rPr>
                      <w:rFonts w:ascii="Arial" w:hAnsi="Arial" w:cs="Arial"/>
                      <w:color w:val="8E8E8E"/>
                      <w:sz w:val="15"/>
                      <w:szCs w:val="15"/>
                      <w:lang w:eastAsia="cs-CZ"/>
                    </w:rPr>
                  </w:pPr>
                  <w:r w:rsidRPr="00DB55D9">
                    <w:rPr>
                      <w:rFonts w:ascii="Arial" w:hAnsi="Arial" w:cs="Arial"/>
                      <w:color w:val="8E8E8E"/>
                      <w:sz w:val="15"/>
                      <w:szCs w:val="15"/>
                      <w:lang w:eastAsia="cs-CZ"/>
                    </w:rPr>
                    <w:fldChar w:fldCharType="begin"/>
                  </w:r>
                  <w:r w:rsidRPr="00DB55D9">
                    <w:rPr>
                      <w:rFonts w:ascii="Arial" w:hAnsi="Arial" w:cs="Arial"/>
                      <w:color w:val="8E8E8E"/>
                      <w:sz w:val="15"/>
                      <w:szCs w:val="15"/>
                      <w:lang w:eastAsia="cs-CZ"/>
                    </w:rPr>
                    <w:instrText xml:space="preserve"> HYPERLINK "http://HN.IHNED.CZ" </w:instrText>
                  </w:r>
                  <w:r w:rsidRPr="009F6FA9">
                    <w:rPr>
                      <w:rFonts w:ascii="Arial" w:hAnsi="Arial" w:cs="Arial"/>
                      <w:color w:val="8E8E8E"/>
                      <w:sz w:val="15"/>
                      <w:szCs w:val="15"/>
                      <w:lang w:eastAsia="cs-CZ"/>
                    </w:rPr>
                  </w:r>
                  <w:r w:rsidRPr="00DB55D9">
                    <w:rPr>
                      <w:rFonts w:ascii="Arial" w:hAnsi="Arial" w:cs="Arial"/>
                      <w:color w:val="8E8E8E"/>
                      <w:sz w:val="15"/>
                      <w:szCs w:val="15"/>
                      <w:lang w:eastAsia="cs-CZ"/>
                    </w:rPr>
                    <w:fldChar w:fldCharType="separate"/>
                  </w:r>
                  <w:r w:rsidRPr="00DB55D9">
                    <w:rPr>
                      <w:rFonts w:ascii="Arial" w:hAnsi="Arial" w:cs="Arial"/>
                      <w:color w:val="0000FF"/>
                      <w:sz w:val="15"/>
                      <w:szCs w:val="15"/>
                      <w:u w:val="single"/>
                      <w:lang w:eastAsia="cs-CZ"/>
                    </w:rPr>
                    <w:t>HN.IHNED.CZ</w:t>
                  </w:r>
                  <w:r w:rsidRPr="00DB55D9">
                    <w:rPr>
                      <w:rFonts w:ascii="Arial" w:hAnsi="Arial" w:cs="Arial"/>
                      <w:color w:val="8E8E8E"/>
                      <w:sz w:val="15"/>
                      <w:szCs w:val="15"/>
                      <w:lang w:eastAsia="cs-CZ"/>
                    </w:rPr>
                    <w:fldChar w:fldCharType="end"/>
                  </w:r>
                  <w:r w:rsidRPr="00DB55D9">
                    <w:rPr>
                      <w:rFonts w:ascii="Arial" w:hAnsi="Arial" w:cs="Arial"/>
                      <w:color w:val="8E8E8E"/>
                      <w:sz w:val="15"/>
                      <w:szCs w:val="15"/>
                      <w:lang w:eastAsia="cs-CZ"/>
                    </w:rPr>
                    <w:t>, 8.11.2011</w:t>
                  </w:r>
                </w:p>
              </w:tc>
            </w:tr>
            <w:tr w:rsidR="00682A22" w:rsidRPr="0022717C">
              <w:trPr>
                <w:tblCellSpacing w:w="0" w:type="dxa"/>
              </w:trPr>
              <w:tc>
                <w:tcPr>
                  <w:tcW w:w="0" w:type="auto"/>
                  <w:gridSpan w:val="2"/>
                </w:tcPr>
                <w:tbl>
                  <w:tblPr>
                    <w:tblW w:w="9450" w:type="dxa"/>
                    <w:tblCellSpacing w:w="0" w:type="dxa"/>
                    <w:tblCellMar>
                      <w:top w:w="75" w:type="dxa"/>
                      <w:left w:w="75" w:type="dxa"/>
                      <w:bottom w:w="75" w:type="dxa"/>
                      <w:right w:w="75" w:type="dxa"/>
                    </w:tblCellMar>
                    <w:tblLook w:val="00A0"/>
                  </w:tblPr>
                  <w:tblGrid>
                    <w:gridCol w:w="9450"/>
                  </w:tblGrid>
                  <w:tr w:rsidR="00682A22" w:rsidRPr="0022717C">
                    <w:trPr>
                      <w:tblCellSpacing w:w="0" w:type="dxa"/>
                    </w:trPr>
                    <w:tc>
                      <w:tcPr>
                        <w:tcW w:w="0" w:type="auto"/>
                      </w:tcPr>
                      <w:p w:rsidR="00682A22" w:rsidRPr="00DB55D9" w:rsidRDefault="00682A22" w:rsidP="00DB55D9">
                        <w:pPr>
                          <w:spacing w:after="0" w:line="240" w:lineRule="auto"/>
                          <w:rPr>
                            <w:rFonts w:ascii="Arial" w:hAnsi="Arial" w:cs="Arial"/>
                            <w:b/>
                            <w:bCs/>
                            <w:color w:val="190F41"/>
                            <w:sz w:val="26"/>
                            <w:szCs w:val="26"/>
                            <w:lang w:eastAsia="cs-CZ"/>
                          </w:rPr>
                        </w:pPr>
                        <w:r w:rsidRPr="00DB55D9">
                          <w:rPr>
                            <w:rFonts w:ascii="Arial" w:hAnsi="Arial" w:cs="Arial"/>
                            <w:b/>
                            <w:bCs/>
                            <w:color w:val="190F41"/>
                            <w:sz w:val="26"/>
                            <w:szCs w:val="26"/>
                            <w:lang w:eastAsia="cs-CZ"/>
                          </w:rPr>
                          <w:t>Nejlevnější pojistka auta může přijít řidiče velmi draho</w:t>
                        </w:r>
                      </w:p>
                    </w:tc>
                  </w:tr>
                  <w:tr w:rsidR="00682A22" w:rsidRPr="0022717C">
                    <w:trPr>
                      <w:tblCellSpacing w:w="0" w:type="dxa"/>
                    </w:trPr>
                    <w:tc>
                      <w:tcPr>
                        <w:tcW w:w="0" w:type="auto"/>
                      </w:tcPr>
                      <w:p w:rsidR="00682A22" w:rsidRPr="00DB55D9" w:rsidRDefault="00682A22" w:rsidP="00DB55D9">
                        <w:pPr>
                          <w:spacing w:after="0" w:line="240" w:lineRule="auto"/>
                          <w:rPr>
                            <w:rFonts w:ascii="Times New Roman" w:hAnsi="Times New Roman" w:cs="Times New Roman"/>
                            <w:i/>
                            <w:iCs/>
                            <w:color w:val="000000"/>
                            <w:sz w:val="21"/>
                            <w:szCs w:val="21"/>
                            <w:lang w:eastAsia="cs-CZ"/>
                          </w:rPr>
                        </w:pPr>
                        <w:r w:rsidRPr="00DB55D9">
                          <w:rPr>
                            <w:rFonts w:ascii="Times New Roman" w:hAnsi="Times New Roman" w:cs="Times New Roman"/>
                            <w:i/>
                            <w:iCs/>
                            <w:color w:val="000000"/>
                            <w:sz w:val="21"/>
                            <w:szCs w:val="21"/>
                            <w:lang w:eastAsia="cs-CZ"/>
                          </w:rPr>
                          <w:t>KONKURENCE SRÁŽÍ CENY. Ceny povinného ručení šly v posledních letech dolů. Roste zájem o komplexní služby, vedle havarijního pojištění třeba o pojištění skel a dobré asistenční služby. Kdo často havaruje, musí si stále více připlatit.</w:t>
                        </w:r>
                      </w:p>
                    </w:tc>
                  </w:tr>
                  <w:tr w:rsidR="00682A22" w:rsidRPr="0022717C">
                    <w:trPr>
                      <w:tblCellSpacing w:w="0" w:type="dxa"/>
                    </w:trPr>
                    <w:tc>
                      <w:tcPr>
                        <w:tcW w:w="0" w:type="auto"/>
                      </w:tcPr>
                      <w:p w:rsidR="00682A22" w:rsidRPr="00DB55D9" w:rsidRDefault="00682A22" w:rsidP="00DB55D9">
                        <w:pPr>
                          <w:spacing w:after="0" w:line="240" w:lineRule="auto"/>
                          <w:rPr>
                            <w:rFonts w:ascii="Arial" w:hAnsi="Arial" w:cs="Arial"/>
                            <w:color w:val="A0A0A0"/>
                            <w:sz w:val="15"/>
                            <w:szCs w:val="15"/>
                            <w:lang w:eastAsia="cs-CZ"/>
                          </w:rPr>
                        </w:pPr>
                      </w:p>
                    </w:tc>
                  </w:tr>
                  <w:tr w:rsidR="00682A22" w:rsidRPr="0022717C">
                    <w:trPr>
                      <w:tblCellSpacing w:w="0" w:type="dxa"/>
                    </w:trPr>
                    <w:tc>
                      <w:tcPr>
                        <w:tcW w:w="0" w:type="auto"/>
                      </w:tcPr>
                      <w:p w:rsidR="00682A22" w:rsidRPr="00DB55D9" w:rsidRDefault="00682A22" w:rsidP="00DB55D9">
                        <w:pPr>
                          <w:spacing w:before="100" w:beforeAutospacing="1" w:after="100" w:afterAutospacing="1" w:line="240" w:lineRule="auto"/>
                          <w:rPr>
                            <w:rFonts w:ascii="Times New Roman" w:hAnsi="Times New Roman" w:cs="Times New Roman"/>
                            <w:b/>
                            <w:bCs/>
                            <w:color w:val="000000"/>
                            <w:sz w:val="21"/>
                            <w:szCs w:val="21"/>
                            <w:lang w:eastAsia="cs-CZ"/>
                          </w:rPr>
                        </w:pPr>
                        <w:r w:rsidRPr="00DB55D9">
                          <w:rPr>
                            <w:rFonts w:ascii="Times New Roman" w:hAnsi="Times New Roman" w:cs="Times New Roman"/>
                            <w:color w:val="000000"/>
                            <w:sz w:val="21"/>
                            <w:szCs w:val="21"/>
                            <w:lang w:eastAsia="cs-CZ"/>
                          </w:rPr>
                          <w:t>Cena pojištění vozidel stále klesá. Podle výkonného ředitele České asociace pojišťoven Tomáše Síkory se v posledních šesti letech snížila průměrná cena povinného ručení asi o 15 procent, což pokládá za dlouhodobě neudržitelné. "Rostoucí průměrné náklady na krytí škod, hlavně na zdraví tak mohou vyřadit některé pojišťovny ze hry," dodává Síkor</w:t>
                        </w:r>
                        <w:r>
                          <w:rPr>
                            <w:rFonts w:ascii="Times New Roman" w:hAnsi="Times New Roman" w:cs="Times New Roman"/>
                            <w:color w:val="000000"/>
                            <w:sz w:val="21"/>
                            <w:szCs w:val="21"/>
                            <w:lang w:eastAsia="cs-CZ"/>
                          </w:rPr>
                          <w:t xml:space="preserve">a. </w:t>
                        </w:r>
                        <w:r w:rsidRPr="00DB55D9">
                          <w:rPr>
                            <w:rFonts w:ascii="Times New Roman" w:hAnsi="Times New Roman" w:cs="Times New Roman"/>
                            <w:b/>
                            <w:bCs/>
                            <w:color w:val="000000"/>
                            <w:sz w:val="21"/>
                            <w:szCs w:val="21"/>
                            <w:lang w:eastAsia="cs-CZ"/>
                          </w:rPr>
                          <w:t>Podle místopředsedy Asociace českých pojišťovacích makléřů Ivana Špirakuse ale může pokles cen povinného ručení alespoň prozatím pokračovat.</w:t>
                        </w:r>
                      </w:p>
                      <w:p w:rsidR="00682A22" w:rsidRPr="00DB55D9" w:rsidRDefault="00682A22" w:rsidP="00DB55D9">
                        <w:pPr>
                          <w:spacing w:before="100" w:beforeAutospacing="1" w:after="100" w:afterAutospacing="1" w:line="240" w:lineRule="auto"/>
                          <w:rPr>
                            <w:rFonts w:ascii="Times New Roman" w:hAnsi="Times New Roman" w:cs="Times New Roman"/>
                            <w:color w:val="000000"/>
                            <w:sz w:val="21"/>
                            <w:szCs w:val="21"/>
                            <w:lang w:eastAsia="cs-CZ"/>
                          </w:rPr>
                        </w:pPr>
                        <w:r w:rsidRPr="00DB55D9">
                          <w:rPr>
                            <w:rFonts w:ascii="Times New Roman" w:hAnsi="Times New Roman" w:cs="Times New Roman"/>
                            <w:b/>
                            <w:bCs/>
                            <w:color w:val="000000"/>
                            <w:sz w:val="21"/>
                            <w:szCs w:val="21"/>
                            <w:lang w:eastAsia="cs-CZ"/>
                          </w:rPr>
                          <w:t>"Obecně očekávám další pokles cen kvůli silné konkurenci. Je ale možné, že pojišťovny zvýší pojištění některým řidičům, kteří zavinili velký počet nehod, a ti budou muset více hl</w:t>
                        </w:r>
                        <w:r>
                          <w:rPr>
                            <w:rFonts w:ascii="Times New Roman" w:hAnsi="Times New Roman" w:cs="Times New Roman"/>
                            <w:b/>
                            <w:bCs/>
                            <w:color w:val="000000"/>
                            <w:sz w:val="21"/>
                            <w:szCs w:val="21"/>
                            <w:lang w:eastAsia="cs-CZ"/>
                          </w:rPr>
                          <w:t>edat přijatelnou cenu," dodává Š</w:t>
                        </w:r>
                        <w:r w:rsidRPr="00DB55D9">
                          <w:rPr>
                            <w:rFonts w:ascii="Times New Roman" w:hAnsi="Times New Roman" w:cs="Times New Roman"/>
                            <w:b/>
                            <w:bCs/>
                            <w:color w:val="000000"/>
                            <w:sz w:val="21"/>
                            <w:szCs w:val="21"/>
                            <w:lang w:eastAsia="cs-CZ"/>
                          </w:rPr>
                          <w:t>pirakus.</w:t>
                        </w:r>
                        <w:r w:rsidRPr="00DB55D9">
                          <w:rPr>
                            <w:rFonts w:ascii="Times New Roman" w:hAnsi="Times New Roman" w:cs="Times New Roman"/>
                            <w:color w:val="000000"/>
                            <w:sz w:val="21"/>
                            <w:szCs w:val="21"/>
                            <w:lang w:eastAsia="cs-CZ"/>
                          </w:rPr>
                          <w:t xml:space="preserve"> Podle tiskového mluvčího Kooperativa pojišťovny Milana Káni jsou ceny povinného ručení nejnižší za posledních pět let. Zájemce by měl proto spíše zvážit, jaký komfort a rozsah připojištění mu pojišťovna za danou cenu nabízí.</w:t>
                        </w:r>
                      </w:p>
                      <w:p w:rsidR="00682A22" w:rsidRPr="00DB55D9" w:rsidRDefault="00682A22" w:rsidP="00DB55D9">
                        <w:pPr>
                          <w:spacing w:before="100" w:beforeAutospacing="1" w:after="100" w:afterAutospacing="1" w:line="240" w:lineRule="auto"/>
                          <w:rPr>
                            <w:rFonts w:ascii="Times New Roman" w:hAnsi="Times New Roman" w:cs="Times New Roman"/>
                            <w:color w:val="000000"/>
                            <w:sz w:val="21"/>
                            <w:szCs w:val="21"/>
                            <w:lang w:eastAsia="cs-CZ"/>
                          </w:rPr>
                        </w:pPr>
                        <w:r w:rsidRPr="00DB55D9">
                          <w:rPr>
                            <w:rFonts w:ascii="Times New Roman" w:hAnsi="Times New Roman" w:cs="Times New Roman"/>
                            <w:color w:val="000000"/>
                            <w:sz w:val="21"/>
                            <w:szCs w:val="21"/>
                            <w:lang w:eastAsia="cs-CZ"/>
                          </w:rPr>
                          <w:t>Aktuálně je v Česku možné koupit povinné ručení, často v kombinaci s havarijním, ale i dalším doplňkovým pojištěním od 14 pojišťoven. Počet nepojištěných automobilů - i díky velkým pokutám - klesá. Podle posledních dostupných dat České kanceláře pojistitelů jich nicméně bylo koncem loňského roku 588 tisíc.</w:t>
                        </w:r>
                      </w:p>
                      <w:p w:rsidR="00682A22" w:rsidRPr="00DB55D9" w:rsidRDefault="00682A22" w:rsidP="00DB55D9">
                        <w:pPr>
                          <w:spacing w:before="100" w:beforeAutospacing="1" w:after="100" w:afterAutospacing="1" w:line="240" w:lineRule="auto"/>
                          <w:rPr>
                            <w:rFonts w:ascii="Times New Roman" w:hAnsi="Times New Roman" w:cs="Times New Roman"/>
                            <w:color w:val="000000"/>
                            <w:sz w:val="21"/>
                            <w:szCs w:val="21"/>
                            <w:lang w:eastAsia="cs-CZ"/>
                          </w:rPr>
                        </w:pPr>
                        <w:r w:rsidRPr="00DB55D9">
                          <w:rPr>
                            <w:rFonts w:ascii="Times New Roman" w:hAnsi="Times New Roman" w:cs="Times New Roman"/>
                            <w:color w:val="000000"/>
                            <w:sz w:val="21"/>
                            <w:szCs w:val="21"/>
                            <w:lang w:eastAsia="cs-CZ"/>
                          </w:rPr>
                          <w:t>Kdo chce měnit povinné ručení nebo si komplexněji pojistit automobil, může využít k porovnání nabídky pojišťoven řadu serverů. Samotné pojišťovny k nim mají ambivalentní vztah. Většina využívá jejich služby, zároveň ale varují, že srovnávače obvykle preferují nejlevnější pojištění, které nemusí být pro klienta nejvýhodnější.</w:t>
                        </w:r>
                      </w:p>
                      <w:p w:rsidR="00682A22" w:rsidRPr="00DB55D9" w:rsidRDefault="00682A22" w:rsidP="00DB55D9">
                        <w:pPr>
                          <w:spacing w:before="100" w:beforeAutospacing="1" w:after="100" w:afterAutospacing="1" w:line="240" w:lineRule="auto"/>
                          <w:rPr>
                            <w:rFonts w:ascii="Times New Roman" w:hAnsi="Times New Roman" w:cs="Times New Roman"/>
                            <w:color w:val="000000"/>
                            <w:sz w:val="21"/>
                            <w:szCs w:val="21"/>
                            <w:lang w:eastAsia="cs-CZ"/>
                          </w:rPr>
                        </w:pPr>
                        <w:r w:rsidRPr="00DB55D9">
                          <w:rPr>
                            <w:rFonts w:ascii="Times New Roman" w:hAnsi="Times New Roman" w:cs="Times New Roman"/>
                            <w:color w:val="000000"/>
                            <w:sz w:val="21"/>
                            <w:szCs w:val="21"/>
                            <w:lang w:eastAsia="cs-CZ"/>
                          </w:rPr>
                          <w:t>"Srovnávače obecně přispěly ke snížení ceny, hlavně proto, že při on-line porovnávání produktů vycházejí z jednoho parametru, kterým je cena. Klient si může mnout ruce nad tím, že si pořídil levné pojištění, může se ale stát, že když přijde živel nebo nehoda, zjistí, že je pojištěn nedostatečně nebo úplně špatně," míní tiskový mluvčí Allianz pojišťovny Václav Bálek.</w:t>
                        </w:r>
                      </w:p>
                      <w:p w:rsidR="00682A22" w:rsidRPr="00DB55D9" w:rsidRDefault="00682A22" w:rsidP="00DB55D9">
                        <w:pPr>
                          <w:spacing w:before="100" w:beforeAutospacing="1" w:after="100" w:afterAutospacing="1" w:line="240" w:lineRule="auto"/>
                          <w:rPr>
                            <w:rFonts w:ascii="Times New Roman" w:hAnsi="Times New Roman" w:cs="Times New Roman"/>
                            <w:color w:val="000000"/>
                            <w:sz w:val="21"/>
                            <w:szCs w:val="21"/>
                            <w:lang w:eastAsia="cs-CZ"/>
                          </w:rPr>
                        </w:pPr>
                        <w:r w:rsidRPr="00DB55D9">
                          <w:rPr>
                            <w:rFonts w:ascii="Times New Roman" w:hAnsi="Times New Roman" w:cs="Times New Roman"/>
                            <w:color w:val="000000"/>
                            <w:sz w:val="21"/>
                            <w:szCs w:val="21"/>
                            <w:lang w:eastAsia="cs-CZ"/>
                          </w:rPr>
                          <w:t>"Spolupracujeme s každým srovnávačem, který má primární zájem poskytovat klientům kvalitní služby a nabízí korektní srovnání nabídek pojišťoven. Bohužel ne vždy jsou informace publikované na různých srovnávačích pravdivé, relativně často za některými může být skryt obchodní zástupce konkrétní pojišťovny a pak mohou být nabídky konkurence záměrně zkresleny," upozorňuje Jan Marek z tiskového oddělení České pojišťovny. Srovnávač ani nemusí, jak připomíná tiskový mluvčí ČSOB Pojišťovny Petr Milata, spolupracovat se všemi pojišťovnami na trhu.</w:t>
                        </w:r>
                      </w:p>
                      <w:p w:rsidR="00682A22" w:rsidRPr="00DB55D9" w:rsidRDefault="00682A22" w:rsidP="00DB55D9">
                        <w:pPr>
                          <w:spacing w:before="100" w:beforeAutospacing="1" w:after="100" w:afterAutospacing="1" w:line="240" w:lineRule="auto"/>
                          <w:rPr>
                            <w:rFonts w:ascii="Times New Roman" w:hAnsi="Times New Roman" w:cs="Times New Roman"/>
                            <w:color w:val="000000"/>
                            <w:sz w:val="21"/>
                            <w:szCs w:val="21"/>
                            <w:lang w:eastAsia="cs-CZ"/>
                          </w:rPr>
                        </w:pPr>
                        <w:r w:rsidRPr="00DB55D9">
                          <w:rPr>
                            <w:rFonts w:ascii="Times New Roman" w:hAnsi="Times New Roman" w:cs="Times New Roman"/>
                            <w:color w:val="000000"/>
                            <w:sz w:val="21"/>
                            <w:szCs w:val="21"/>
                            <w:lang w:eastAsia="cs-CZ"/>
                          </w:rPr>
                          <w:t>Chcete ušetřit? Zkuste změnit pojišťovnu a smlouvejte</w:t>
                        </w:r>
                      </w:p>
                      <w:p w:rsidR="00682A22" w:rsidRPr="00DB55D9" w:rsidRDefault="00682A22" w:rsidP="00DB55D9">
                        <w:pPr>
                          <w:spacing w:before="100" w:beforeAutospacing="1" w:after="100" w:afterAutospacing="1" w:line="240" w:lineRule="auto"/>
                          <w:rPr>
                            <w:rFonts w:ascii="Times New Roman" w:hAnsi="Times New Roman" w:cs="Times New Roman"/>
                            <w:color w:val="000000"/>
                            <w:sz w:val="21"/>
                            <w:szCs w:val="21"/>
                            <w:lang w:eastAsia="cs-CZ"/>
                          </w:rPr>
                        </w:pPr>
                        <w:r w:rsidRPr="00DB55D9">
                          <w:rPr>
                            <w:rFonts w:ascii="Times New Roman" w:hAnsi="Times New Roman" w:cs="Times New Roman"/>
                            <w:color w:val="000000"/>
                            <w:sz w:val="21"/>
                            <w:szCs w:val="21"/>
                            <w:lang w:eastAsia="cs-CZ"/>
                          </w:rPr>
                          <w:t>Podle průzkumu výzkumné agentury IBRS pro Direct pojišťovnu je český trh velmi konzervativní a průměrná délka pojištění automobilů činí v průměru 5,9 roku. Ke změně pojišťovny motoristy z více než dvou třetin motivuje právě nižší cena, téměř čtvrtina z 500 oslovených řidičů z celé ČR sází i na kvalitu, 16 procent na lepší servis a 13 procent na něčí doporučení. Podle průzkumu přitom 71 procent řidičů změnou pojišťovny u povinného ručení ušetří, prý až 1065 korun ročně a u novějších aut ještě více.</w:t>
                        </w:r>
                      </w:p>
                      <w:p w:rsidR="00682A22" w:rsidRPr="00DB55D9" w:rsidRDefault="00682A22" w:rsidP="00DB55D9">
                        <w:pPr>
                          <w:spacing w:before="100" w:beforeAutospacing="1" w:after="100" w:afterAutospacing="1" w:line="240" w:lineRule="auto"/>
                          <w:rPr>
                            <w:rFonts w:ascii="Times New Roman" w:hAnsi="Times New Roman" w:cs="Times New Roman"/>
                            <w:b/>
                            <w:bCs/>
                            <w:color w:val="000000"/>
                            <w:sz w:val="21"/>
                            <w:szCs w:val="21"/>
                            <w:lang w:eastAsia="cs-CZ"/>
                          </w:rPr>
                        </w:pPr>
                        <w:r w:rsidRPr="00DB55D9">
                          <w:rPr>
                            <w:rFonts w:ascii="Times New Roman" w:hAnsi="Times New Roman" w:cs="Times New Roman"/>
                            <w:b/>
                            <w:bCs/>
                            <w:color w:val="000000"/>
                            <w:sz w:val="21"/>
                            <w:szCs w:val="21"/>
                            <w:lang w:eastAsia="cs-CZ"/>
                          </w:rPr>
                          <w:t>Že je možné přechodem k jiné pojišťovně ušetřit, v n</w:t>
                        </w:r>
                        <w:r>
                          <w:rPr>
                            <w:rFonts w:ascii="Times New Roman" w:hAnsi="Times New Roman" w:cs="Times New Roman"/>
                            <w:b/>
                            <w:bCs/>
                            <w:color w:val="000000"/>
                            <w:sz w:val="21"/>
                            <w:szCs w:val="21"/>
                            <w:lang w:eastAsia="cs-CZ"/>
                          </w:rPr>
                          <w:t>ěkterých případech připouští i Š</w:t>
                        </w:r>
                        <w:r w:rsidRPr="00DB55D9">
                          <w:rPr>
                            <w:rFonts w:ascii="Times New Roman" w:hAnsi="Times New Roman" w:cs="Times New Roman"/>
                            <w:b/>
                            <w:bCs/>
                            <w:color w:val="000000"/>
                            <w:sz w:val="21"/>
                            <w:szCs w:val="21"/>
                            <w:lang w:eastAsia="cs-CZ"/>
                          </w:rPr>
                          <w:t>pirakus. Když má například klient starší smlouvu na Fabii s naftovým motorem o objemu 1,9 litru a malým výkonem motoru a přejde od pojišťovny, která počítá pojistné klasicky podle obsahu motoru, k jiné, jež používá výpočet podle výkonu moto</w:t>
                        </w:r>
                        <w:r>
                          <w:rPr>
                            <w:rFonts w:ascii="Times New Roman" w:hAnsi="Times New Roman" w:cs="Times New Roman"/>
                            <w:b/>
                            <w:bCs/>
                            <w:color w:val="000000"/>
                            <w:sz w:val="21"/>
                            <w:szCs w:val="21"/>
                            <w:lang w:eastAsia="cs-CZ"/>
                          </w:rPr>
                          <w:t>ru. Změna pojišťovny ale podle Š</w:t>
                        </w:r>
                        <w:r w:rsidRPr="00DB55D9">
                          <w:rPr>
                            <w:rFonts w:ascii="Times New Roman" w:hAnsi="Times New Roman" w:cs="Times New Roman"/>
                            <w:b/>
                            <w:bCs/>
                            <w:color w:val="000000"/>
                            <w:sz w:val="21"/>
                            <w:szCs w:val="21"/>
                            <w:lang w:eastAsia="cs-CZ"/>
                          </w:rPr>
                          <w:t>pirakuse klientovi slevu ve většině případů zřejmě nepřinese.</w:t>
                        </w:r>
                      </w:p>
                      <w:p w:rsidR="00682A22" w:rsidRPr="00DB55D9" w:rsidRDefault="00682A22" w:rsidP="00DB55D9">
                        <w:pPr>
                          <w:spacing w:before="100" w:beforeAutospacing="1" w:after="100" w:afterAutospacing="1" w:line="240" w:lineRule="auto"/>
                          <w:rPr>
                            <w:rFonts w:ascii="Times New Roman" w:hAnsi="Times New Roman" w:cs="Times New Roman"/>
                            <w:color w:val="000000"/>
                            <w:sz w:val="21"/>
                            <w:szCs w:val="21"/>
                            <w:lang w:eastAsia="cs-CZ"/>
                          </w:rPr>
                        </w:pPr>
                        <w:r w:rsidRPr="00DB55D9">
                          <w:rPr>
                            <w:rFonts w:ascii="Times New Roman" w:hAnsi="Times New Roman" w:cs="Times New Roman"/>
                            <w:color w:val="000000"/>
                            <w:sz w:val="21"/>
                            <w:szCs w:val="21"/>
                            <w:lang w:eastAsia="cs-CZ"/>
                          </w:rPr>
                          <w:t>Podle čeho si tedy vybírat povinné ručení? Pokud motorista využívá srovnávače pojištění, neměl by samozřejmě zůstat u jediného a jejich výsledky porovnat. Zájemcům, kteří hledají optimální pojištění, a ne pouze nízkou cenu, lze doporučit další "pomocná kritéria".</w:t>
                        </w:r>
                      </w:p>
                      <w:p w:rsidR="00682A22" w:rsidRPr="00DB55D9" w:rsidRDefault="00682A22" w:rsidP="00DB55D9">
                        <w:pPr>
                          <w:spacing w:before="100" w:beforeAutospacing="1" w:after="100" w:afterAutospacing="1" w:line="240" w:lineRule="auto"/>
                          <w:rPr>
                            <w:rFonts w:ascii="Times New Roman" w:hAnsi="Times New Roman" w:cs="Times New Roman"/>
                            <w:color w:val="000000"/>
                            <w:sz w:val="21"/>
                            <w:szCs w:val="21"/>
                            <w:lang w:eastAsia="cs-CZ"/>
                          </w:rPr>
                        </w:pPr>
                        <w:r w:rsidRPr="00DB55D9">
                          <w:rPr>
                            <w:rFonts w:ascii="Times New Roman" w:hAnsi="Times New Roman" w:cs="Times New Roman"/>
                            <w:color w:val="000000"/>
                            <w:sz w:val="21"/>
                            <w:szCs w:val="21"/>
                            <w:lang w:eastAsia="cs-CZ"/>
                          </w:rPr>
                          <w:t>Orientovat se je možné například podle přehledu o počtu vozidel pojištěných u jednotlivých pojišťoven a jejich pololetních změnách, které zveřejňuje Česká kancelář pojistitelů. Z tabulky, která zachycuje poslední dostupné údaje k 30. červnu 2011, vyplývá, že nejvíce vozidel má stále povinné ručení od České pojišťovny, která na ně měla do roku 2000 monopol. Počet jejích pojistek na povinné ručení ale postupně klesá, na paty jí stále více šlape Kooperativa pojišťovna. Třetí příčku obsadila Česká podnikatelská pojišťovna, za níž následují Allianz, Generali, ČSOB Pojišťovna, Uniqa pojišťovna a Triglav pojišťovna.</w:t>
                        </w:r>
                      </w:p>
                      <w:p w:rsidR="00682A22" w:rsidRPr="00DB55D9" w:rsidRDefault="00682A22" w:rsidP="00DB55D9">
                        <w:pPr>
                          <w:spacing w:before="100" w:beforeAutospacing="1" w:after="100" w:afterAutospacing="1" w:line="240" w:lineRule="auto"/>
                          <w:rPr>
                            <w:rFonts w:ascii="Times New Roman" w:hAnsi="Times New Roman" w:cs="Times New Roman"/>
                            <w:color w:val="000000"/>
                            <w:sz w:val="21"/>
                            <w:szCs w:val="21"/>
                            <w:lang w:eastAsia="cs-CZ"/>
                          </w:rPr>
                        </w:pPr>
                        <w:r w:rsidRPr="00DB55D9">
                          <w:rPr>
                            <w:rFonts w:ascii="Times New Roman" w:hAnsi="Times New Roman" w:cs="Times New Roman"/>
                            <w:color w:val="000000"/>
                            <w:sz w:val="21"/>
                            <w:szCs w:val="21"/>
                            <w:lang w:eastAsia="cs-CZ"/>
                          </w:rPr>
                          <w:t>Další alternativou pro výběr pojišťovny jsou soutěže. HN udělují cenu nejlepší bance i pojišťovně a pojišťovny hodnotí ve dvou kategoriích: jedna poměřuje pojišťovny podle kvality služeb a druhá kategorie sleduje jejich hospodaření a přínos pro akcionáře.</w:t>
                        </w:r>
                      </w:p>
                      <w:p w:rsidR="00682A22" w:rsidRPr="00DB55D9" w:rsidRDefault="00682A22" w:rsidP="00DB55D9">
                        <w:pPr>
                          <w:spacing w:before="100" w:beforeAutospacing="1" w:after="100" w:afterAutospacing="1" w:line="240" w:lineRule="auto"/>
                          <w:rPr>
                            <w:rFonts w:ascii="Times New Roman" w:hAnsi="Times New Roman" w:cs="Times New Roman"/>
                            <w:b/>
                            <w:bCs/>
                            <w:color w:val="000000"/>
                            <w:sz w:val="21"/>
                            <w:szCs w:val="21"/>
                            <w:lang w:eastAsia="cs-CZ"/>
                          </w:rPr>
                        </w:pPr>
                        <w:r w:rsidRPr="00DB55D9">
                          <w:rPr>
                            <w:rFonts w:ascii="Times New Roman" w:hAnsi="Times New Roman" w:cs="Times New Roman"/>
                            <w:b/>
                            <w:bCs/>
                            <w:color w:val="000000"/>
                            <w:sz w:val="21"/>
                            <w:szCs w:val="21"/>
                            <w:lang w:eastAsia="cs-CZ"/>
                          </w:rPr>
                          <w:t>Nezávislý pohled na český pojišťovací trh by měly také poskytnout výsledky soutěže o Pojišťovnu roku 2010 Asociace českých pojišťovacích makléřů. V kategorii autopojištění zvítězila Kooperativa pojišťovna před Českou podnikatelskou pojišťovnou, Allianz pojišťovnou, Uniqua pojišťovnou a Generali pojišťovnou.</w:t>
                        </w:r>
                      </w:p>
                      <w:p w:rsidR="00682A22" w:rsidRPr="00DB55D9" w:rsidRDefault="00682A22" w:rsidP="00DB55D9">
                        <w:pPr>
                          <w:spacing w:before="100" w:beforeAutospacing="1" w:after="100" w:afterAutospacing="1" w:line="240" w:lineRule="auto"/>
                          <w:rPr>
                            <w:rFonts w:ascii="Times New Roman" w:hAnsi="Times New Roman" w:cs="Times New Roman"/>
                            <w:color w:val="000000"/>
                            <w:sz w:val="21"/>
                            <w:szCs w:val="21"/>
                            <w:lang w:eastAsia="cs-CZ"/>
                          </w:rPr>
                        </w:pPr>
                        <w:r w:rsidRPr="00DB55D9">
                          <w:rPr>
                            <w:rFonts w:ascii="Times New Roman" w:hAnsi="Times New Roman" w:cs="Times New Roman"/>
                            <w:color w:val="000000"/>
                            <w:sz w:val="21"/>
                            <w:szCs w:val="21"/>
                            <w:lang w:eastAsia="cs-CZ"/>
                          </w:rPr>
                          <w:t>Zkušenosti řady motoristů přitom naznačují, že když dali výpověď a chtěli odejít nebo zkusili smlouvat, často dostali od "staré" pojišťovny povinné ručení se slevou. Platí to hlavně pro starší, zkušenější řidiče jezdící bez nehod. U mladších, tedy zhruba do 35 let, pojišťovny často - třeba i bezdůvodně - předpokládají menší řidičské zkušenosti a pokládají je za rizikovější. Změní na tom něco snaha více ocenit bezrizikové řidiče, o nichž hovoří prakticky všechny pojišťovny?</w:t>
                        </w:r>
                      </w:p>
                      <w:p w:rsidR="00682A22" w:rsidRPr="00DB55D9" w:rsidRDefault="00682A22" w:rsidP="00DB55D9">
                        <w:pPr>
                          <w:spacing w:before="100" w:beforeAutospacing="1" w:after="100" w:afterAutospacing="1" w:line="240" w:lineRule="auto"/>
                          <w:rPr>
                            <w:rFonts w:ascii="Times New Roman" w:hAnsi="Times New Roman" w:cs="Times New Roman"/>
                            <w:i/>
                            <w:iCs/>
                            <w:color w:val="000000"/>
                            <w:sz w:val="21"/>
                            <w:szCs w:val="21"/>
                            <w:lang w:eastAsia="cs-CZ"/>
                          </w:rPr>
                        </w:pPr>
                        <w:r w:rsidRPr="00DB55D9">
                          <w:rPr>
                            <w:rFonts w:ascii="Times New Roman" w:hAnsi="Times New Roman" w:cs="Times New Roman"/>
                            <w:color w:val="000000"/>
                            <w:sz w:val="21"/>
                            <w:szCs w:val="21"/>
                            <w:lang w:eastAsia="cs-CZ"/>
                          </w:rPr>
                          <w:t> </w:t>
                        </w:r>
                        <w:r w:rsidRPr="00DB55D9">
                          <w:rPr>
                            <w:rFonts w:ascii="Times New Roman" w:hAnsi="Times New Roman" w:cs="Times New Roman"/>
                            <w:i/>
                            <w:iCs/>
                            <w:color w:val="000000"/>
                            <w:sz w:val="21"/>
                            <w:szCs w:val="21"/>
                            <w:lang w:eastAsia="cs-CZ"/>
                          </w:rPr>
                          <w:t>Rámeček:</w:t>
                        </w:r>
                      </w:p>
                      <w:p w:rsidR="00682A22" w:rsidRPr="00DB55D9" w:rsidRDefault="00682A22" w:rsidP="00DB55D9">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hAnsi="Times New Roman" w:cs="Times New Roman"/>
                            <w:b/>
                            <w:bCs/>
                            <w:color w:val="000000"/>
                            <w:sz w:val="24"/>
                            <w:szCs w:val="24"/>
                            <w:lang w:eastAsia="cs-CZ"/>
                          </w:rPr>
                        </w:pPr>
                        <w:r w:rsidRPr="00DB55D9">
                          <w:rPr>
                            <w:rFonts w:ascii="Times New Roman" w:hAnsi="Times New Roman" w:cs="Times New Roman"/>
                            <w:b/>
                            <w:bCs/>
                            <w:color w:val="000000"/>
                            <w:sz w:val="24"/>
                            <w:szCs w:val="24"/>
                            <w:lang w:eastAsia="cs-CZ"/>
                          </w:rPr>
                          <w:t xml:space="preserve">Ceny povinného ručení mohou kvůli silné konkurenci dál klesat. Pojišťovny ale naopak mohou zvýšit pojištění některým řidičům, kteří zavinili velký počet nehod. </w:t>
                        </w:r>
                        <w:r w:rsidRPr="00DB55D9">
                          <w:rPr>
                            <w:rFonts w:ascii="Times New Roman" w:hAnsi="Times New Roman" w:cs="Times New Roman"/>
                            <w:b/>
                            <w:bCs/>
                            <w:color w:val="000000"/>
                            <w:sz w:val="24"/>
                            <w:szCs w:val="24"/>
                            <w:lang w:eastAsia="cs-CZ"/>
                          </w:rPr>
                          <w:br/>
                          <w:t xml:space="preserve">Ivan Špirakus </w:t>
                        </w:r>
                        <w:r w:rsidRPr="00DB55D9">
                          <w:rPr>
                            <w:rFonts w:ascii="Times New Roman" w:hAnsi="Times New Roman" w:cs="Times New Roman"/>
                            <w:b/>
                            <w:bCs/>
                            <w:color w:val="000000"/>
                            <w:sz w:val="24"/>
                            <w:szCs w:val="24"/>
                            <w:lang w:eastAsia="cs-CZ"/>
                          </w:rPr>
                          <w:br/>
                          <w:t>místopředseda Asociace českých pojišťovacích makléřů</w:t>
                        </w:r>
                      </w:p>
                      <w:p w:rsidR="00682A22" w:rsidRPr="00DB55D9" w:rsidRDefault="00682A22" w:rsidP="00DB55D9">
                        <w:pPr>
                          <w:spacing w:before="100" w:beforeAutospacing="1" w:after="100" w:afterAutospacing="1" w:line="240" w:lineRule="auto"/>
                          <w:rPr>
                            <w:rFonts w:ascii="Times New Roman" w:hAnsi="Times New Roman" w:cs="Times New Roman"/>
                            <w:color w:val="000000"/>
                            <w:sz w:val="21"/>
                            <w:szCs w:val="21"/>
                            <w:lang w:eastAsia="cs-CZ"/>
                          </w:rPr>
                        </w:pPr>
                        <w:r w:rsidRPr="00DB55D9">
                          <w:rPr>
                            <w:rFonts w:ascii="Times New Roman" w:hAnsi="Times New Roman" w:cs="Times New Roman"/>
                            <w:color w:val="000000"/>
                            <w:sz w:val="21"/>
                            <w:szCs w:val="21"/>
                            <w:lang w:eastAsia="cs-CZ"/>
                          </w:rPr>
                          <w:t> </w:t>
                        </w:r>
                      </w:p>
                      <w:p w:rsidR="00682A22" w:rsidRPr="00DB55D9" w:rsidRDefault="00682A22" w:rsidP="00DB55D9">
                        <w:pPr>
                          <w:spacing w:before="100" w:beforeAutospacing="1" w:after="100" w:afterAutospacing="1" w:line="240" w:lineRule="auto"/>
                          <w:rPr>
                            <w:rFonts w:ascii="Times New Roman" w:hAnsi="Times New Roman" w:cs="Times New Roman"/>
                            <w:color w:val="000000"/>
                            <w:sz w:val="21"/>
                            <w:szCs w:val="21"/>
                            <w:lang w:eastAsia="cs-CZ"/>
                          </w:rPr>
                        </w:pPr>
                      </w:p>
                    </w:tc>
                  </w:tr>
                </w:tbl>
                <w:p w:rsidR="00682A22" w:rsidRPr="00DB55D9" w:rsidRDefault="00682A22" w:rsidP="00DB55D9">
                  <w:pPr>
                    <w:spacing w:after="0" w:line="240" w:lineRule="auto"/>
                    <w:rPr>
                      <w:rFonts w:ascii="Arial" w:hAnsi="Arial" w:cs="Arial"/>
                      <w:color w:val="000000"/>
                      <w:sz w:val="17"/>
                      <w:szCs w:val="17"/>
                      <w:lang w:eastAsia="cs-CZ"/>
                    </w:rPr>
                  </w:pPr>
                </w:p>
              </w:tc>
            </w:tr>
            <w:tr w:rsidR="00682A22" w:rsidRPr="0022717C">
              <w:trPr>
                <w:tblCellSpacing w:w="0" w:type="dxa"/>
              </w:trPr>
              <w:tc>
                <w:tcPr>
                  <w:tcW w:w="0" w:type="auto"/>
                  <w:gridSpan w:val="2"/>
                  <w:vAlign w:val="center"/>
                </w:tcPr>
                <w:tbl>
                  <w:tblPr>
                    <w:tblW w:w="9450" w:type="dxa"/>
                    <w:jc w:val="right"/>
                    <w:tblCellSpacing w:w="0" w:type="dxa"/>
                    <w:tblCellMar>
                      <w:top w:w="30" w:type="dxa"/>
                      <w:left w:w="30" w:type="dxa"/>
                      <w:bottom w:w="30" w:type="dxa"/>
                      <w:right w:w="30" w:type="dxa"/>
                    </w:tblCellMar>
                    <w:tblLook w:val="00A0"/>
                  </w:tblPr>
                  <w:tblGrid>
                    <w:gridCol w:w="1713"/>
                    <w:gridCol w:w="3515"/>
                    <w:gridCol w:w="4222"/>
                  </w:tblGrid>
                  <w:tr w:rsidR="00682A22" w:rsidRPr="0022717C">
                    <w:trPr>
                      <w:tblCellSpacing w:w="0" w:type="dxa"/>
                      <w:jc w:val="right"/>
                    </w:trPr>
                    <w:tc>
                      <w:tcPr>
                        <w:tcW w:w="0" w:type="auto"/>
                      </w:tcPr>
                      <w:p w:rsidR="00682A22" w:rsidRPr="00DB55D9" w:rsidRDefault="00682A22" w:rsidP="00DB55D9">
                        <w:pPr>
                          <w:spacing w:after="0" w:line="240" w:lineRule="auto"/>
                          <w:jc w:val="right"/>
                          <w:rPr>
                            <w:rFonts w:ascii="Arial" w:hAnsi="Arial" w:cs="Arial"/>
                            <w:color w:val="A0A0A0"/>
                            <w:sz w:val="15"/>
                            <w:szCs w:val="15"/>
                            <w:lang w:eastAsia="cs-CZ"/>
                          </w:rPr>
                        </w:pPr>
                        <w:r w:rsidRPr="00DB55D9">
                          <w:rPr>
                            <w:rFonts w:ascii="Arial" w:hAnsi="Arial" w:cs="Arial"/>
                            <w:color w:val="A0A0A0"/>
                            <w:sz w:val="15"/>
                            <w:szCs w:val="15"/>
                            <w:lang w:eastAsia="cs-CZ"/>
                          </w:rPr>
                          <w:t>Autor/ři:</w:t>
                        </w:r>
                      </w:p>
                    </w:tc>
                    <w:tc>
                      <w:tcPr>
                        <w:tcW w:w="0" w:type="auto"/>
                      </w:tcPr>
                      <w:p w:rsidR="00682A22" w:rsidRPr="00DB55D9" w:rsidRDefault="00682A22" w:rsidP="00DB55D9">
                        <w:pPr>
                          <w:spacing w:after="0" w:line="240" w:lineRule="auto"/>
                          <w:rPr>
                            <w:rFonts w:ascii="Arial" w:hAnsi="Arial" w:cs="Arial"/>
                            <w:color w:val="A0A0A0"/>
                            <w:sz w:val="15"/>
                            <w:szCs w:val="15"/>
                            <w:lang w:eastAsia="cs-CZ"/>
                          </w:rPr>
                        </w:pPr>
                        <w:r w:rsidRPr="00DB55D9">
                          <w:rPr>
                            <w:rFonts w:ascii="Arial" w:hAnsi="Arial" w:cs="Arial"/>
                            <w:color w:val="A0A0A0"/>
                            <w:sz w:val="15"/>
                            <w:szCs w:val="15"/>
                            <w:lang w:eastAsia="cs-CZ"/>
                          </w:rPr>
                          <w:t> František Mašek</w:t>
                        </w:r>
                      </w:p>
                    </w:tc>
                    <w:tc>
                      <w:tcPr>
                        <w:tcW w:w="0" w:type="auto"/>
                      </w:tcPr>
                      <w:p w:rsidR="00682A22" w:rsidRPr="00DB55D9" w:rsidRDefault="00682A22" w:rsidP="00DB55D9">
                        <w:pPr>
                          <w:spacing w:after="0" w:line="240" w:lineRule="auto"/>
                          <w:rPr>
                            <w:rFonts w:ascii="Arial" w:hAnsi="Arial" w:cs="Arial"/>
                            <w:color w:val="A0A0A0"/>
                            <w:sz w:val="15"/>
                            <w:szCs w:val="15"/>
                            <w:lang w:eastAsia="cs-CZ"/>
                          </w:rPr>
                        </w:pPr>
                        <w:r w:rsidRPr="00DB55D9">
                          <w:rPr>
                            <w:rFonts w:ascii="Arial" w:hAnsi="Arial" w:cs="Arial"/>
                            <w:color w:val="A0A0A0"/>
                            <w:sz w:val="15"/>
                            <w:szCs w:val="15"/>
                            <w:lang w:eastAsia="cs-CZ"/>
                          </w:rPr>
                          <w:t> </w:t>
                        </w:r>
                        <w:hyperlink r:id="rId4" w:history="1">
                          <w:r w:rsidRPr="00DB55D9">
                            <w:rPr>
                              <w:rFonts w:ascii="Arial" w:hAnsi="Arial" w:cs="Arial"/>
                              <w:color w:val="0000FF"/>
                              <w:sz w:val="15"/>
                              <w:szCs w:val="15"/>
                              <w:u w:val="single"/>
                              <w:lang w:eastAsia="cs-CZ"/>
                            </w:rPr>
                            <w:t>www.ihned.cz/autori</w:t>
                          </w:r>
                        </w:hyperlink>
                      </w:p>
                    </w:tc>
                  </w:tr>
                </w:tbl>
                <w:p w:rsidR="00682A22" w:rsidRPr="00DB55D9" w:rsidRDefault="00682A22" w:rsidP="00DB55D9">
                  <w:pPr>
                    <w:spacing w:after="0" w:line="240" w:lineRule="auto"/>
                    <w:jc w:val="right"/>
                    <w:rPr>
                      <w:rFonts w:ascii="Arial" w:hAnsi="Arial" w:cs="Arial"/>
                      <w:color w:val="000000"/>
                      <w:sz w:val="17"/>
                      <w:szCs w:val="17"/>
                      <w:lang w:eastAsia="cs-CZ"/>
                    </w:rPr>
                  </w:pPr>
                </w:p>
              </w:tc>
            </w:tr>
            <w:tr w:rsidR="00682A22" w:rsidRPr="0022717C">
              <w:trPr>
                <w:tblCellSpacing w:w="0" w:type="dxa"/>
              </w:trPr>
              <w:tc>
                <w:tcPr>
                  <w:tcW w:w="5000" w:type="pct"/>
                  <w:gridSpan w:val="2"/>
                  <w:tcBorders>
                    <w:bottom w:val="single" w:sz="6" w:space="0" w:color="8E8E8E"/>
                  </w:tcBorders>
                  <w:vAlign w:val="bottom"/>
                </w:tcPr>
                <w:p w:rsidR="00682A22" w:rsidRPr="00DB55D9" w:rsidRDefault="00682A22" w:rsidP="00DB55D9">
                  <w:pPr>
                    <w:spacing w:after="0" w:line="240" w:lineRule="auto"/>
                    <w:rPr>
                      <w:rFonts w:ascii="Arial" w:hAnsi="Arial" w:cs="Arial"/>
                      <w:color w:val="8E8E8E"/>
                      <w:sz w:val="15"/>
                      <w:szCs w:val="15"/>
                      <w:lang w:eastAsia="cs-CZ"/>
                    </w:rPr>
                  </w:pPr>
                  <w:r w:rsidRPr="00DB55D9">
                    <w:rPr>
                      <w:rFonts w:ascii="Arial" w:hAnsi="Arial" w:cs="Arial"/>
                      <w:color w:val="8E8E8E"/>
                      <w:sz w:val="15"/>
                      <w:szCs w:val="15"/>
                      <w:lang w:eastAsia="cs-CZ"/>
                    </w:rPr>
                    <w:t> </w:t>
                  </w:r>
                </w:p>
              </w:tc>
            </w:tr>
          </w:tbl>
          <w:p w:rsidR="00682A22" w:rsidRPr="00DB55D9" w:rsidRDefault="00682A22" w:rsidP="00DB55D9">
            <w:pPr>
              <w:spacing w:after="0" w:line="240" w:lineRule="auto"/>
              <w:rPr>
                <w:rFonts w:ascii="Arial" w:hAnsi="Arial" w:cs="Arial"/>
                <w:color w:val="000000"/>
                <w:sz w:val="17"/>
                <w:szCs w:val="17"/>
                <w:lang w:eastAsia="cs-CZ"/>
              </w:rPr>
            </w:pPr>
          </w:p>
        </w:tc>
      </w:tr>
    </w:tbl>
    <w:p w:rsidR="00682A22" w:rsidRDefault="00682A22"/>
    <w:sectPr w:rsidR="00682A22" w:rsidSect="00BD63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55D9"/>
    <w:rsid w:val="00050DD7"/>
    <w:rsid w:val="00134055"/>
    <w:rsid w:val="0022717C"/>
    <w:rsid w:val="003A4EB5"/>
    <w:rsid w:val="00682A22"/>
    <w:rsid w:val="00754096"/>
    <w:rsid w:val="008F22E2"/>
    <w:rsid w:val="00940050"/>
    <w:rsid w:val="009F6FA9"/>
    <w:rsid w:val="00B81BA1"/>
    <w:rsid w:val="00BD6319"/>
    <w:rsid w:val="00DB55D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319"/>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DB55D9"/>
    <w:rPr>
      <w:color w:val="0000FF"/>
      <w:u w:val="single"/>
    </w:rPr>
  </w:style>
  <w:style w:type="paragraph" w:customStyle="1" w:styleId="detail-odstavec">
    <w:name w:val="detail-odstavec"/>
    <w:basedOn w:val="Normal"/>
    <w:uiPriority w:val="99"/>
    <w:rsid w:val="00DB55D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tail-mezititulek">
    <w:name w:val="detail-mezititulek"/>
    <w:basedOn w:val="Normal"/>
    <w:uiPriority w:val="99"/>
    <w:rsid w:val="00DB55D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alWeb">
    <w:name w:val="Normal (Web)"/>
    <w:basedOn w:val="Normal"/>
    <w:uiPriority w:val="99"/>
    <w:semiHidden/>
    <w:rsid w:val="00DB55D9"/>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5389319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hned.cz/auto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2</Pages>
  <Words>890</Words>
  <Characters>5255</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Indruchova</dc:creator>
  <cp:keywords/>
  <dc:description/>
  <cp:lastModifiedBy>Beny</cp:lastModifiedBy>
  <cp:revision>3</cp:revision>
  <dcterms:created xsi:type="dcterms:W3CDTF">2011-11-10T13:52:00Z</dcterms:created>
  <dcterms:modified xsi:type="dcterms:W3CDTF">2011-11-12T14:44:00Z</dcterms:modified>
</cp:coreProperties>
</file>